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7E" w:rsidRDefault="009B08CE" w:rsidP="00CE4330">
      <w:pPr>
        <w:autoSpaceDE w:val="0"/>
        <w:autoSpaceDN w:val="0"/>
        <w:adjustRightInd w:val="0"/>
        <w:spacing w:after="0" w:line="240" w:lineRule="auto"/>
        <w:rPr>
          <w:rFonts w:ascii="ITCOfficinaSansLTBook,Bold" w:hAnsi="ITCOfficinaSansLTBook,Bold" w:cs="ITCOfficinaSansLTBook,Bold"/>
          <w:b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4.3pt;margin-top:-9.75pt;width:122.7pt;height:102.75pt;z-index:251660288;mso-width-relative:margin;mso-height-relative:margin" stroked="f">
            <v:textbox>
              <w:txbxContent>
                <w:p w:rsidR="00A344F0" w:rsidRDefault="00A344F0">
                  <w:r w:rsidRPr="0084126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323975" cy="1095375"/>
                        <wp:effectExtent l="19050" t="0" r="9525" b="0"/>
                        <wp:docPr id="2" name="Bild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6" name="Grafik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3090A" w:rsidRPr="0033090A" w:rsidRDefault="00CE4330" w:rsidP="00CE43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 w:rsidRPr="0033090A">
        <w:rPr>
          <w:rFonts w:ascii="Arial" w:hAnsi="Arial" w:cs="Arial"/>
          <w:b/>
          <w:bCs/>
          <w:sz w:val="48"/>
          <w:szCs w:val="48"/>
        </w:rPr>
        <w:t xml:space="preserve">Merkblatt </w:t>
      </w:r>
      <w:r w:rsidR="009B08CE">
        <w:rPr>
          <w:rFonts w:ascii="Arial" w:hAnsi="Arial" w:cs="Arial"/>
          <w:b/>
          <w:bCs/>
          <w:sz w:val="48"/>
          <w:szCs w:val="48"/>
        </w:rPr>
        <w:t xml:space="preserve"> </w:t>
      </w:r>
      <w:r w:rsidR="009B08CE" w:rsidRPr="009B08CE">
        <w:rPr>
          <w:rFonts w:ascii="Arial" w:hAnsi="Arial" w:cs="Arial"/>
          <w:b/>
          <w:bCs/>
          <w:sz w:val="24"/>
          <w:szCs w:val="24"/>
        </w:rPr>
        <w:t>- Anlage 4 der Baurichtlinie</w:t>
      </w:r>
      <w:r w:rsidR="009B08CE">
        <w:rPr>
          <w:rFonts w:ascii="Arial" w:hAnsi="Arial" w:cs="Arial"/>
          <w:b/>
          <w:bCs/>
          <w:sz w:val="24"/>
          <w:szCs w:val="24"/>
        </w:rPr>
        <w:t xml:space="preserve"> -</w:t>
      </w:r>
    </w:p>
    <w:p w:rsidR="00AC07AB" w:rsidRDefault="00AC07AB" w:rsidP="00CE43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CE4330" w:rsidRPr="0033090A" w:rsidRDefault="00CE4330" w:rsidP="00CE43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3090A">
        <w:rPr>
          <w:rFonts w:ascii="Arial" w:hAnsi="Arial" w:cs="Arial"/>
          <w:b/>
          <w:bCs/>
          <w:sz w:val="26"/>
          <w:szCs w:val="26"/>
        </w:rPr>
        <w:t>für die Heizungsfirma</w:t>
      </w:r>
      <w:r w:rsidR="003723D6">
        <w:rPr>
          <w:rFonts w:ascii="Arial" w:hAnsi="Arial" w:cs="Arial"/>
          <w:b/>
          <w:bCs/>
          <w:sz w:val="26"/>
          <w:szCs w:val="26"/>
        </w:rPr>
        <w:t xml:space="preserve"> und die Gemeinde</w:t>
      </w:r>
    </w:p>
    <w:p w:rsidR="00CE4330" w:rsidRPr="0033090A" w:rsidRDefault="00317856" w:rsidP="00AC0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zur</w:t>
      </w:r>
      <w:r w:rsidR="003723D6">
        <w:rPr>
          <w:rFonts w:ascii="Arial" w:hAnsi="Arial" w:cs="Arial"/>
          <w:b/>
          <w:bCs/>
          <w:sz w:val="26"/>
          <w:szCs w:val="26"/>
        </w:rPr>
        <w:t xml:space="preserve"> jährliche</w:t>
      </w:r>
      <w:r>
        <w:rPr>
          <w:rFonts w:ascii="Arial" w:hAnsi="Arial" w:cs="Arial"/>
          <w:b/>
          <w:bCs/>
          <w:sz w:val="26"/>
          <w:szCs w:val="26"/>
        </w:rPr>
        <w:t>n</w:t>
      </w:r>
      <w:r w:rsidR="00CE4330" w:rsidRPr="0033090A">
        <w:rPr>
          <w:rFonts w:ascii="Arial" w:hAnsi="Arial" w:cs="Arial"/>
          <w:b/>
          <w:bCs/>
          <w:sz w:val="26"/>
          <w:szCs w:val="26"/>
        </w:rPr>
        <w:t xml:space="preserve"> Wartung</w:t>
      </w:r>
      <w:r w:rsidR="00AC07AB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von</w:t>
      </w:r>
      <w:r w:rsidR="00CE4330" w:rsidRPr="0033090A">
        <w:rPr>
          <w:rFonts w:ascii="Arial" w:hAnsi="Arial" w:cs="Arial"/>
          <w:b/>
          <w:bCs/>
          <w:sz w:val="26"/>
          <w:szCs w:val="26"/>
        </w:rPr>
        <w:t xml:space="preserve"> Heizungsanlage</w:t>
      </w:r>
      <w:r>
        <w:rPr>
          <w:rFonts w:ascii="Arial" w:hAnsi="Arial" w:cs="Arial"/>
          <w:b/>
          <w:bCs/>
          <w:sz w:val="26"/>
          <w:szCs w:val="26"/>
        </w:rPr>
        <w:t>n</w:t>
      </w:r>
    </w:p>
    <w:p w:rsidR="00AC07AB" w:rsidRDefault="00106483" w:rsidP="00B10C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</w:rPr>
        <w:br/>
      </w:r>
      <w:r w:rsidR="00B10C7E" w:rsidRPr="0033090A">
        <w:rPr>
          <w:rFonts w:ascii="Arial" w:hAnsi="Arial" w:cs="Arial"/>
        </w:rPr>
        <w:t>Heizungsanlagen sollten jährlich von einer Fachfirma gewartet werden, um Funktion und Effizienz</w:t>
      </w:r>
      <w:r w:rsidR="00A703FF">
        <w:rPr>
          <w:rFonts w:ascii="Arial" w:hAnsi="Arial" w:cs="Arial"/>
        </w:rPr>
        <w:t xml:space="preserve"> </w:t>
      </w:r>
      <w:r w:rsidR="00B10C7E" w:rsidRPr="0033090A">
        <w:rPr>
          <w:rFonts w:ascii="Arial" w:hAnsi="Arial" w:cs="Arial"/>
        </w:rPr>
        <w:t>der Anlage sicherzustellen. Für das Energiesparen bietet die Wartung ein großes Potenzial ohne oder</w:t>
      </w:r>
      <w:r w:rsidR="00AC07AB">
        <w:rPr>
          <w:rFonts w:ascii="Arial" w:hAnsi="Arial" w:cs="Arial"/>
        </w:rPr>
        <w:t xml:space="preserve"> </w:t>
      </w:r>
      <w:r w:rsidR="00B10C7E" w:rsidRPr="0033090A">
        <w:rPr>
          <w:rFonts w:ascii="Arial" w:hAnsi="Arial" w:cs="Arial"/>
        </w:rPr>
        <w:t xml:space="preserve">mit wenig </w:t>
      </w:r>
      <w:proofErr w:type="spellStart"/>
      <w:r w:rsidR="00B10C7E" w:rsidRPr="0033090A">
        <w:rPr>
          <w:rFonts w:ascii="Arial" w:hAnsi="Arial" w:cs="Arial"/>
        </w:rPr>
        <w:t>Mehrkosten</w:t>
      </w:r>
      <w:proofErr w:type="gramStart"/>
      <w:r w:rsidR="00B10C7E" w:rsidRPr="0033090A">
        <w:rPr>
          <w:rFonts w:ascii="Arial" w:hAnsi="Arial" w:cs="Arial"/>
        </w:rPr>
        <w:t>,welches</w:t>
      </w:r>
      <w:proofErr w:type="spellEnd"/>
      <w:proofErr w:type="gramEnd"/>
      <w:r w:rsidR="00B10C7E" w:rsidRPr="0033090A">
        <w:rPr>
          <w:rFonts w:ascii="Arial" w:hAnsi="Arial" w:cs="Arial"/>
        </w:rPr>
        <w:t xml:space="preserve"> jedoch </w:t>
      </w:r>
      <w:r w:rsidR="00485353">
        <w:rPr>
          <w:rFonts w:ascii="Arial" w:hAnsi="Arial" w:cs="Arial"/>
        </w:rPr>
        <w:t>häufig nicht ausgeschöpft wird.</w:t>
      </w:r>
      <w:bookmarkStart w:id="0" w:name="_GoBack"/>
      <w:bookmarkEnd w:id="0"/>
    </w:p>
    <w:p w:rsidR="009D7F40" w:rsidRDefault="00485353" w:rsidP="009D7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aufgeführten Punkte sollen im Rahmen der Heizungswartung</w:t>
      </w:r>
      <w:r w:rsidR="009D7F40">
        <w:rPr>
          <w:rFonts w:ascii="Arial" w:hAnsi="Arial" w:cs="Arial"/>
        </w:rPr>
        <w:t xml:space="preserve"> mit überprüft werden:</w:t>
      </w:r>
    </w:p>
    <w:p w:rsidR="009D7F40" w:rsidRPr="00B0734C" w:rsidRDefault="009D7F40" w:rsidP="009D7F40">
      <w:pPr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734C">
        <w:rPr>
          <w:rFonts w:ascii="Arial" w:hAnsi="Arial" w:cs="Arial"/>
          <w:b/>
        </w:rPr>
        <w:t>JA</w:t>
      </w:r>
      <w:r w:rsidRPr="00B0734C">
        <w:rPr>
          <w:rFonts w:ascii="Arial" w:hAnsi="Arial" w:cs="Arial"/>
          <w:b/>
        </w:rPr>
        <w:tab/>
        <w:t>NEIN</w:t>
      </w:r>
      <w:r w:rsidRPr="00B0734C">
        <w:rPr>
          <w:rFonts w:ascii="Arial" w:hAnsi="Arial" w:cs="Arial"/>
          <w:b/>
        </w:rPr>
        <w:tab/>
      </w:r>
    </w:p>
    <w:p w:rsidR="00023377" w:rsidRDefault="00E00457" w:rsidP="00596C1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Überprüfen</w:t>
      </w:r>
      <w:r w:rsidR="009D7F40">
        <w:rPr>
          <w:rFonts w:ascii="Arial" w:hAnsi="Arial" w:cs="Arial"/>
        </w:rPr>
        <w:t xml:space="preserve"> / Anpassen</w:t>
      </w:r>
      <w:r>
        <w:rPr>
          <w:rFonts w:ascii="Arial" w:hAnsi="Arial" w:cs="Arial"/>
        </w:rPr>
        <w:t xml:space="preserve"> der </w:t>
      </w:r>
      <w:r w:rsidR="00DB390A">
        <w:rPr>
          <w:rFonts w:ascii="Arial" w:hAnsi="Arial" w:cs="Arial"/>
        </w:rPr>
        <w:t>Regelungseinstellung</w:t>
      </w:r>
    </w:p>
    <w:p w:rsidR="00DB390A" w:rsidRDefault="009D7F40" w:rsidP="00596C1F">
      <w:pPr>
        <w:pStyle w:val="Listenabsatz"/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Arial" w:hAnsi="Arial" w:cs="Arial"/>
        </w:rPr>
        <w:t>Hier: Nutzungsz</w:t>
      </w:r>
      <w:r w:rsidR="00DB390A">
        <w:rPr>
          <w:rFonts w:ascii="Arial" w:hAnsi="Arial" w:cs="Arial"/>
        </w:rPr>
        <w:t xml:space="preserve">eiten / Sommerbetrieb / </w:t>
      </w:r>
      <w:r>
        <w:rPr>
          <w:rFonts w:ascii="Arial" w:hAnsi="Arial" w:cs="Arial"/>
        </w:rPr>
        <w:t>Nachtabsenkung</w:t>
      </w:r>
      <w:r w:rsidR="00367963">
        <w:rPr>
          <w:rFonts w:ascii="Arial" w:hAnsi="Arial" w:cs="Arial"/>
        </w:rPr>
        <w:tab/>
        <w:t>_____</w:t>
      </w:r>
      <w:r w:rsidR="00B0734C">
        <w:rPr>
          <w:rFonts w:ascii="Arial" w:hAnsi="Arial" w:cs="Arial"/>
        </w:rPr>
        <w:tab/>
        <w:t>___</w:t>
      </w:r>
      <w:r w:rsidR="00367963">
        <w:rPr>
          <w:rFonts w:ascii="Arial" w:hAnsi="Arial" w:cs="Arial"/>
        </w:rPr>
        <w:t>__</w:t>
      </w:r>
      <w:r w:rsidR="00FF685C">
        <w:rPr>
          <w:rFonts w:ascii="Arial" w:hAnsi="Arial" w:cs="Arial"/>
        </w:rPr>
        <w:br/>
      </w:r>
    </w:p>
    <w:p w:rsidR="001F6E75" w:rsidRDefault="00FF685C" w:rsidP="001F6E75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Arial" w:hAnsi="Arial" w:cs="Arial"/>
        </w:rPr>
        <w:t xml:space="preserve">Überprüfung der Heizkurve und Parallelverschiebung im Hinblick auf </w:t>
      </w:r>
      <w:r>
        <w:rPr>
          <w:rFonts w:ascii="Arial" w:hAnsi="Arial" w:cs="Arial"/>
        </w:rPr>
        <w:br/>
        <w:t>einen energiesparenden Betrieb</w:t>
      </w:r>
      <w:r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ab/>
        <w:t>_____</w:t>
      </w:r>
    </w:p>
    <w:p w:rsidR="00367963" w:rsidRDefault="00367963" w:rsidP="00596C1F">
      <w:p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</w:p>
    <w:p w:rsidR="00367963" w:rsidRDefault="00684C53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Arial" w:hAnsi="Arial" w:cs="Arial"/>
        </w:rPr>
        <w:t>Überprüfen der Pumpeneinstellung</w:t>
      </w:r>
      <w:r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ab/>
        <w:t>_____</w:t>
      </w:r>
    </w:p>
    <w:p w:rsidR="00684C53" w:rsidRDefault="00684C53" w:rsidP="00596C1F">
      <w:p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</w:p>
    <w:p w:rsidR="00684C53" w:rsidRPr="00EB2B2B" w:rsidRDefault="00B81F38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ITCOfficinaSansLTBook" w:hAnsi="ITCOfficinaSansLTBook" w:cs="ITCOfficinaSansLTBook"/>
        </w:rPr>
        <w:t>Überprüfung der B</w:t>
      </w:r>
      <w:r w:rsidR="00EB2B2B" w:rsidRPr="00EB2B2B">
        <w:rPr>
          <w:rFonts w:ascii="ITCOfficinaSansLTBook" w:hAnsi="ITCOfficinaSansLTBook" w:cs="ITCOfficinaSansLTBook"/>
        </w:rPr>
        <w:t xml:space="preserve">rennstoff-, </w:t>
      </w:r>
      <w:r w:rsidR="00866CA0">
        <w:rPr>
          <w:rFonts w:ascii="ITCOfficinaSansLTBook" w:hAnsi="ITCOfficinaSansLTBook" w:cs="ITCOfficinaSansLTBook"/>
        </w:rPr>
        <w:t>A</w:t>
      </w:r>
      <w:r w:rsidR="00EB2B2B" w:rsidRPr="00EB2B2B">
        <w:rPr>
          <w:rFonts w:ascii="ITCOfficinaSansLTBook" w:hAnsi="ITCOfficinaSansLTBook" w:cs="ITCOfficinaSansLTBook"/>
        </w:rPr>
        <w:t xml:space="preserve">bgas- und wasserführenden Teile </w:t>
      </w:r>
      <w:r w:rsidR="00EB2B2B" w:rsidRPr="00EB2B2B">
        <w:rPr>
          <w:rFonts w:ascii="ITCOfficinaSansLTBook" w:hAnsi="ITCOfficinaSansLTBook" w:cs="ITCOfficinaSansLTBook"/>
        </w:rPr>
        <w:br/>
        <w:t>auf Dichtheit, sichtbare Korrosions- und Alterungserscheinungen</w:t>
      </w:r>
      <w:r w:rsidR="00EB2B2B">
        <w:rPr>
          <w:rFonts w:ascii="ITCOfficinaSansLTBook" w:hAnsi="ITCOfficinaSansLTBook" w:cs="ITCOfficinaSansLTBook"/>
        </w:rPr>
        <w:tab/>
        <w:t>_____</w:t>
      </w:r>
      <w:r w:rsidR="00EB2B2B">
        <w:rPr>
          <w:rFonts w:ascii="ITCOfficinaSansLTBook" w:hAnsi="ITCOfficinaSansLTBook" w:cs="ITCOfficinaSansLTBook"/>
        </w:rPr>
        <w:tab/>
        <w:t>_____</w:t>
      </w:r>
    </w:p>
    <w:p w:rsidR="00EB2B2B" w:rsidRPr="00EB2B2B" w:rsidRDefault="00EB2B2B" w:rsidP="00596C1F">
      <w:pPr>
        <w:pStyle w:val="Listenabsatz"/>
        <w:spacing w:after="0" w:line="240" w:lineRule="auto"/>
        <w:rPr>
          <w:rFonts w:ascii="Arial" w:hAnsi="Arial" w:cs="Arial"/>
        </w:rPr>
      </w:pPr>
    </w:p>
    <w:p w:rsidR="00EB2B2B" w:rsidRDefault="00EB2B2B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Arial" w:hAnsi="Arial" w:cs="Arial"/>
        </w:rPr>
        <w:t xml:space="preserve">Überprüfung des </w:t>
      </w:r>
      <w:proofErr w:type="spellStart"/>
      <w:r>
        <w:rPr>
          <w:rFonts w:ascii="Arial" w:hAnsi="Arial" w:cs="Arial"/>
        </w:rPr>
        <w:t>Ausdehungsgefäßes</w:t>
      </w:r>
      <w:proofErr w:type="spellEnd"/>
      <w:r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ab/>
        <w:t>_____</w:t>
      </w:r>
    </w:p>
    <w:p w:rsidR="00EB2B2B" w:rsidRPr="00EB2B2B" w:rsidRDefault="00EB2B2B" w:rsidP="00596C1F">
      <w:pPr>
        <w:pStyle w:val="Listenabsatz"/>
        <w:spacing w:after="0" w:line="240" w:lineRule="auto"/>
        <w:rPr>
          <w:rFonts w:ascii="Arial" w:hAnsi="Arial" w:cs="Arial"/>
        </w:rPr>
      </w:pPr>
    </w:p>
    <w:p w:rsidR="00EB2B2B" w:rsidRDefault="00E44426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Arial" w:hAnsi="Arial" w:cs="Arial"/>
        </w:rPr>
        <w:t xml:space="preserve">Abgasmessung nach </w:t>
      </w:r>
      <w:proofErr w:type="spellStart"/>
      <w:r>
        <w:rPr>
          <w:rFonts w:ascii="Arial" w:hAnsi="Arial" w:cs="Arial"/>
        </w:rPr>
        <w:t>BimSchV</w:t>
      </w:r>
      <w:proofErr w:type="spellEnd"/>
      <w:r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ab/>
        <w:t>_____</w:t>
      </w:r>
    </w:p>
    <w:p w:rsidR="00E44426" w:rsidRPr="00E44426" w:rsidRDefault="00E44426" w:rsidP="00596C1F">
      <w:pPr>
        <w:pStyle w:val="Listenabsatz"/>
        <w:spacing w:after="0" w:line="240" w:lineRule="auto"/>
        <w:rPr>
          <w:rFonts w:ascii="Arial" w:hAnsi="Arial" w:cs="Arial"/>
        </w:rPr>
      </w:pPr>
    </w:p>
    <w:p w:rsidR="00E44426" w:rsidRDefault="00E44426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Arial" w:hAnsi="Arial" w:cs="Arial"/>
        </w:rPr>
        <w:t>Überprüfung der sicherheitstechnischen Anlagenteile</w:t>
      </w:r>
      <w:r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ab/>
        <w:t>_____</w:t>
      </w:r>
    </w:p>
    <w:p w:rsidR="00E44426" w:rsidRPr="00E44426" w:rsidRDefault="00E44426" w:rsidP="00596C1F">
      <w:pPr>
        <w:pStyle w:val="Listenabsatz"/>
        <w:spacing w:after="0" w:line="240" w:lineRule="auto"/>
        <w:rPr>
          <w:rFonts w:ascii="Arial" w:hAnsi="Arial" w:cs="Arial"/>
        </w:rPr>
      </w:pPr>
    </w:p>
    <w:p w:rsidR="0008383A" w:rsidRPr="0008383A" w:rsidRDefault="00E44426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ITCOfficinaSansLTBook" w:hAnsi="ITCOfficinaSansLTBook" w:cs="ITCOfficinaSansLTBook"/>
        </w:rPr>
        <w:t xml:space="preserve">Ölanlagen: Überprüfung der Heizöllagerung- und Heizölleitungen </w:t>
      </w:r>
      <w:r>
        <w:rPr>
          <w:rFonts w:ascii="ITCOfficinaSansLTBook" w:hAnsi="ITCOfficinaSansLTBook" w:cs="ITCOfficinaSansLTBook"/>
        </w:rPr>
        <w:br/>
        <w:t xml:space="preserve">gemäß </w:t>
      </w:r>
      <w:proofErr w:type="spellStart"/>
      <w:r>
        <w:rPr>
          <w:rFonts w:ascii="ITCOfficinaSansLTBook" w:hAnsi="ITCOfficinaSansLTBook" w:cs="ITCOfficinaSansLTBook"/>
        </w:rPr>
        <w:t>VAwS</w:t>
      </w:r>
      <w:proofErr w:type="spellEnd"/>
      <w:r>
        <w:rPr>
          <w:rFonts w:ascii="ITCOfficinaSansLTBook" w:hAnsi="ITCOfficinaSansLTBook" w:cs="ITCOfficinaSansLTBook"/>
        </w:rPr>
        <w:t xml:space="preserve"> und WHG</w:t>
      </w:r>
      <w:r>
        <w:rPr>
          <w:rFonts w:ascii="ITCOfficinaSansLTBook" w:hAnsi="ITCOfficinaSansLTBook" w:cs="ITCOfficinaSansLTBook"/>
        </w:rPr>
        <w:tab/>
        <w:t>_____</w:t>
      </w:r>
      <w:r>
        <w:rPr>
          <w:rFonts w:ascii="ITCOfficinaSansLTBook" w:hAnsi="ITCOfficinaSansLTBook" w:cs="ITCOfficinaSansLTBook"/>
        </w:rPr>
        <w:tab/>
        <w:t>_____</w:t>
      </w:r>
    </w:p>
    <w:p w:rsidR="0008383A" w:rsidRPr="0008383A" w:rsidRDefault="0008383A" w:rsidP="00596C1F">
      <w:pPr>
        <w:pStyle w:val="Listenabsatz"/>
        <w:spacing w:after="0" w:line="240" w:lineRule="auto"/>
        <w:rPr>
          <w:rFonts w:ascii="ITCOfficinaSansLTBook" w:hAnsi="ITCOfficinaSansLTBook" w:cs="ITCOfficinaSansLTBook"/>
        </w:rPr>
      </w:pPr>
    </w:p>
    <w:p w:rsidR="00E44426" w:rsidRPr="0008383A" w:rsidRDefault="0008383A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 w:rsidRPr="0008383A">
        <w:rPr>
          <w:rFonts w:ascii="ITCOfficinaSansLTBook" w:hAnsi="ITCOfficinaSansLTBook" w:cs="ITCOfficinaSansLTBook"/>
        </w:rPr>
        <w:t xml:space="preserve">Entspricht die Anlage der Trinkwasserverordnung? Ist eine </w:t>
      </w:r>
      <w:r w:rsidRPr="0008383A">
        <w:rPr>
          <w:rFonts w:ascii="ITCOfficinaSansLTBook" w:hAnsi="ITCOfficinaSansLTBook" w:cs="ITCOfficinaSansLTBook"/>
        </w:rPr>
        <w:br/>
        <w:t>Systemtrennung beim Befüllen der Heizungsanlage eingebaut?</w:t>
      </w:r>
      <w:r>
        <w:rPr>
          <w:rFonts w:ascii="ITCOfficinaSansLTBook" w:hAnsi="ITCOfficinaSansLTBook" w:cs="ITCOfficinaSansLTBook"/>
        </w:rPr>
        <w:tab/>
        <w:t>_____</w:t>
      </w:r>
      <w:r>
        <w:rPr>
          <w:rFonts w:ascii="ITCOfficinaSansLTBook" w:hAnsi="ITCOfficinaSansLTBook" w:cs="ITCOfficinaSansLTBook"/>
        </w:rPr>
        <w:tab/>
        <w:t>_____</w:t>
      </w:r>
    </w:p>
    <w:p w:rsidR="0008383A" w:rsidRPr="0008383A" w:rsidRDefault="0008383A" w:rsidP="00596C1F">
      <w:pPr>
        <w:pStyle w:val="Listenabsatz"/>
        <w:spacing w:after="0" w:line="240" w:lineRule="auto"/>
        <w:rPr>
          <w:rFonts w:ascii="Arial" w:hAnsi="Arial" w:cs="Arial"/>
        </w:rPr>
      </w:pPr>
    </w:p>
    <w:p w:rsidR="0008383A" w:rsidRPr="002168F5" w:rsidRDefault="002168F5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ITCOfficinaSansLTBook" w:hAnsi="ITCOfficinaSansLTBook" w:cs="ITCOfficinaSansLTBook"/>
        </w:rPr>
        <w:t xml:space="preserve">Reinigung bzw. Einbau eines Schmutzfängers </w:t>
      </w:r>
      <w:r>
        <w:rPr>
          <w:rFonts w:ascii="ITCOfficinaSansLTBook" w:hAnsi="ITCOfficinaSansLTBook" w:cs="ITCOfficinaSansLTBook"/>
        </w:rPr>
        <w:br/>
        <w:t>(Schützt den Wärmetauscher und die Pumpe)</w:t>
      </w:r>
      <w:r>
        <w:rPr>
          <w:rFonts w:ascii="ITCOfficinaSansLTBook" w:hAnsi="ITCOfficinaSansLTBook" w:cs="ITCOfficinaSansLTBook"/>
        </w:rPr>
        <w:tab/>
        <w:t>_____</w:t>
      </w:r>
      <w:r>
        <w:rPr>
          <w:rFonts w:ascii="ITCOfficinaSansLTBook" w:hAnsi="ITCOfficinaSansLTBook" w:cs="ITCOfficinaSansLTBook"/>
        </w:rPr>
        <w:tab/>
        <w:t>_____</w:t>
      </w:r>
    </w:p>
    <w:p w:rsidR="002168F5" w:rsidRPr="002168F5" w:rsidRDefault="002168F5" w:rsidP="00596C1F">
      <w:pPr>
        <w:pStyle w:val="Listenabsatz"/>
        <w:spacing w:after="0" w:line="240" w:lineRule="auto"/>
        <w:rPr>
          <w:rFonts w:ascii="Arial" w:hAnsi="Arial" w:cs="Arial"/>
        </w:rPr>
      </w:pPr>
    </w:p>
    <w:p w:rsidR="002168F5" w:rsidRPr="002168F5" w:rsidRDefault="002168F5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ITCOfficinaSansLTBook" w:hAnsi="ITCOfficinaSansLTBook" w:cs="ITCOfficinaSansLTBook"/>
        </w:rPr>
        <w:t>Reinigung von Kessel und Brenner</w:t>
      </w:r>
      <w:r>
        <w:rPr>
          <w:rFonts w:ascii="ITCOfficinaSansLTBook" w:hAnsi="ITCOfficinaSansLTBook" w:cs="ITCOfficinaSansLTBook"/>
        </w:rPr>
        <w:tab/>
        <w:t>_____</w:t>
      </w:r>
      <w:r>
        <w:rPr>
          <w:rFonts w:ascii="ITCOfficinaSansLTBook" w:hAnsi="ITCOfficinaSansLTBook" w:cs="ITCOfficinaSansLTBook"/>
        </w:rPr>
        <w:tab/>
        <w:t>_____</w:t>
      </w:r>
    </w:p>
    <w:p w:rsidR="002168F5" w:rsidRPr="002168F5" w:rsidRDefault="002168F5" w:rsidP="00596C1F">
      <w:pPr>
        <w:pStyle w:val="Listenabsatz"/>
        <w:spacing w:after="0" w:line="240" w:lineRule="auto"/>
        <w:rPr>
          <w:rFonts w:ascii="Arial" w:hAnsi="Arial" w:cs="Arial"/>
        </w:rPr>
      </w:pPr>
    </w:p>
    <w:p w:rsidR="002168F5" w:rsidRPr="002168F5" w:rsidRDefault="002168F5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ITCOfficinaSansLTBook" w:hAnsi="ITCOfficinaSansLTBook" w:cs="ITCOfficinaSansLTBook"/>
        </w:rPr>
        <w:t>Austausch von Verschleißteilen wie z.B. Brennerdüse und Filter</w:t>
      </w:r>
      <w:r>
        <w:rPr>
          <w:rFonts w:ascii="ITCOfficinaSansLTBook" w:hAnsi="ITCOfficinaSansLTBook" w:cs="ITCOfficinaSansLTBook"/>
        </w:rPr>
        <w:tab/>
        <w:t>_____</w:t>
      </w:r>
      <w:r>
        <w:rPr>
          <w:rFonts w:ascii="ITCOfficinaSansLTBook" w:hAnsi="ITCOfficinaSansLTBook" w:cs="ITCOfficinaSansLTBook"/>
        </w:rPr>
        <w:tab/>
        <w:t>_____</w:t>
      </w:r>
    </w:p>
    <w:p w:rsidR="002168F5" w:rsidRPr="002168F5" w:rsidRDefault="002168F5" w:rsidP="00596C1F">
      <w:pPr>
        <w:pStyle w:val="Listenabsatz"/>
        <w:spacing w:after="0" w:line="240" w:lineRule="auto"/>
        <w:rPr>
          <w:rFonts w:ascii="Arial" w:hAnsi="Arial" w:cs="Arial"/>
        </w:rPr>
      </w:pPr>
    </w:p>
    <w:p w:rsidR="002168F5" w:rsidRPr="002168F5" w:rsidRDefault="002168F5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ITCOfficinaSansLTBook" w:hAnsi="ITCOfficinaSansLTBook" w:cs="ITCOfficinaSansLTBook"/>
        </w:rPr>
        <w:t>Entlüftung des Heizsystems, Nachfüllen des Heizungswassers</w:t>
      </w:r>
      <w:r>
        <w:rPr>
          <w:rFonts w:ascii="ITCOfficinaSansLTBook" w:hAnsi="ITCOfficinaSansLTBook" w:cs="ITCOfficinaSansLTBook"/>
        </w:rPr>
        <w:tab/>
        <w:t>_____</w:t>
      </w:r>
      <w:r>
        <w:rPr>
          <w:rFonts w:ascii="ITCOfficinaSansLTBook" w:hAnsi="ITCOfficinaSansLTBook" w:cs="ITCOfficinaSansLTBook"/>
        </w:rPr>
        <w:tab/>
        <w:t>_____</w:t>
      </w:r>
    </w:p>
    <w:p w:rsidR="002168F5" w:rsidRPr="002168F5" w:rsidRDefault="002168F5" w:rsidP="00596C1F">
      <w:pPr>
        <w:pStyle w:val="Listenabsatz"/>
        <w:spacing w:after="0" w:line="240" w:lineRule="auto"/>
        <w:rPr>
          <w:rFonts w:ascii="Arial" w:hAnsi="Arial" w:cs="Arial"/>
        </w:rPr>
      </w:pPr>
    </w:p>
    <w:p w:rsidR="00937715" w:rsidRPr="00937715" w:rsidRDefault="004215B7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ITCOfficinaSansLTBook" w:hAnsi="ITCOfficinaSansLTBook" w:cs="ITCOfficinaSansLTBook"/>
        </w:rPr>
        <w:t>Arbeitet die Brennwertheizung</w:t>
      </w:r>
      <w:r w:rsidR="00106483">
        <w:rPr>
          <w:rFonts w:ascii="ITCOfficinaSansLTBook" w:hAnsi="ITCOfficinaSansLTBook" w:cs="ITCOfficinaSansLTBook"/>
        </w:rPr>
        <w:t xml:space="preserve"> im Brennwertbereich ?</w:t>
      </w:r>
      <w:r w:rsidR="00106483">
        <w:rPr>
          <w:rFonts w:ascii="ITCOfficinaSansLTBook" w:hAnsi="ITCOfficinaSansLTBook" w:cs="ITCOfficinaSansLTBook"/>
        </w:rPr>
        <w:br/>
      </w:r>
      <w:r w:rsidR="002168F5">
        <w:rPr>
          <w:rFonts w:ascii="ITCOfficinaSansLTBook" w:hAnsi="ITCOfficinaSansLTBook" w:cs="ITCOfficinaSansLTBook"/>
        </w:rPr>
        <w:t xml:space="preserve">Überprüfung der </w:t>
      </w:r>
      <w:proofErr w:type="spellStart"/>
      <w:r w:rsidR="002168F5">
        <w:rPr>
          <w:rFonts w:ascii="ITCOfficinaSansLTBook" w:hAnsi="ITCOfficinaSansLTBook" w:cs="ITCOfficinaSansLTBook"/>
        </w:rPr>
        <w:t>Kondens</w:t>
      </w:r>
      <w:r w:rsidR="00106483">
        <w:rPr>
          <w:rFonts w:ascii="ITCOfficinaSansLTBook" w:hAnsi="ITCOfficinaSansLTBook" w:cs="ITCOfficinaSansLTBook"/>
        </w:rPr>
        <w:t>atableitung</w:t>
      </w:r>
      <w:proofErr w:type="spellEnd"/>
      <w:r w:rsidR="002168F5">
        <w:rPr>
          <w:rFonts w:ascii="ITCOfficinaSansLTBook" w:hAnsi="ITCOfficinaSansLTBook" w:cs="ITCOfficinaSansLTBook"/>
        </w:rPr>
        <w:tab/>
        <w:t>_____</w:t>
      </w:r>
      <w:r w:rsidR="002168F5">
        <w:rPr>
          <w:rFonts w:ascii="ITCOfficinaSansLTBook" w:hAnsi="ITCOfficinaSansLTBook" w:cs="ITCOfficinaSansLTBook"/>
        </w:rPr>
        <w:tab/>
        <w:t>_____</w:t>
      </w:r>
    </w:p>
    <w:p w:rsidR="00937715" w:rsidRPr="00937715" w:rsidRDefault="00937715" w:rsidP="00596C1F">
      <w:pPr>
        <w:pStyle w:val="Listenabsatz"/>
        <w:spacing w:after="0" w:line="240" w:lineRule="auto"/>
        <w:rPr>
          <w:rFonts w:ascii="ITCOfficinaSansLTBook" w:hAnsi="ITCOfficinaSansLTBook" w:cs="ITCOfficinaSansLTBook"/>
        </w:rPr>
      </w:pPr>
    </w:p>
    <w:p w:rsidR="002168F5" w:rsidRPr="00937715" w:rsidRDefault="00937715" w:rsidP="00596C1F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 w:rsidRPr="00937715">
        <w:rPr>
          <w:rFonts w:ascii="ITCOfficinaSansLTBook" w:hAnsi="ITCOfficinaSansLTBook" w:cs="ITCOfficinaSansLTBook"/>
        </w:rPr>
        <w:t>Überprüfung des Trinkwarmwasser-</w:t>
      </w:r>
      <w:proofErr w:type="spellStart"/>
      <w:r w:rsidRPr="00937715">
        <w:rPr>
          <w:rFonts w:ascii="ITCOfficinaSansLTBook" w:hAnsi="ITCOfficinaSansLTBook" w:cs="ITCOfficinaSansLTBook"/>
        </w:rPr>
        <w:t>Erwärmers</w:t>
      </w:r>
      <w:proofErr w:type="spellEnd"/>
      <w:r w:rsidRPr="00937715">
        <w:rPr>
          <w:rFonts w:ascii="ITCOfficinaSansLTBook" w:hAnsi="ITCOfficinaSansLTBook" w:cs="ITCOfficinaSansLTBook"/>
        </w:rPr>
        <w:t xml:space="preserve"> auf Temperatureinstellung, </w:t>
      </w:r>
      <w:r>
        <w:rPr>
          <w:rFonts w:ascii="ITCOfficinaSansLTBook" w:hAnsi="ITCOfficinaSansLTBook" w:cs="ITCOfficinaSansLTBook"/>
        </w:rPr>
        <w:br/>
      </w:r>
      <w:r w:rsidRPr="00937715">
        <w:rPr>
          <w:rFonts w:ascii="ITCOfficinaSansLTBook" w:hAnsi="ITCOfficinaSansLTBook" w:cs="ITCOfficinaSansLTBook"/>
        </w:rPr>
        <w:t>Dichtheit und Funktion</w:t>
      </w:r>
      <w:r>
        <w:rPr>
          <w:rFonts w:ascii="ITCOfficinaSansLTBook" w:hAnsi="ITCOfficinaSansLTBook" w:cs="ITCOfficinaSansLTBook"/>
        </w:rPr>
        <w:tab/>
        <w:t>_____</w:t>
      </w:r>
      <w:r>
        <w:rPr>
          <w:rFonts w:ascii="ITCOfficinaSansLTBook" w:hAnsi="ITCOfficinaSansLTBook" w:cs="ITCOfficinaSansLTBook"/>
        </w:rPr>
        <w:tab/>
        <w:t>_____</w:t>
      </w:r>
    </w:p>
    <w:p w:rsidR="00937715" w:rsidRPr="00937715" w:rsidRDefault="00937715" w:rsidP="00596C1F">
      <w:pPr>
        <w:pStyle w:val="Listenabsatz"/>
        <w:spacing w:after="0" w:line="240" w:lineRule="auto"/>
        <w:rPr>
          <w:rFonts w:ascii="Arial" w:hAnsi="Arial" w:cs="Arial"/>
        </w:rPr>
      </w:pPr>
    </w:p>
    <w:p w:rsidR="001F6E75" w:rsidRPr="00FF685C" w:rsidRDefault="00937715" w:rsidP="00FF685C">
      <w:pPr>
        <w:pStyle w:val="Listenabsatz"/>
        <w:numPr>
          <w:ilvl w:val="0"/>
          <w:numId w:val="2"/>
        </w:num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ITCOfficinaSansLTBook" w:hAnsi="ITCOfficinaSansLTBook" w:cs="ITCOfficinaSansLTBook"/>
        </w:rPr>
        <w:t xml:space="preserve">Wartungsprotokoll </w:t>
      </w:r>
      <w:r w:rsidR="00EB3C8D">
        <w:rPr>
          <w:rFonts w:ascii="ITCOfficinaSansLTBook" w:hAnsi="ITCOfficinaSansLTBook" w:cs="ITCOfficinaSansLTBook"/>
        </w:rPr>
        <w:t>ausgestellt</w:t>
      </w:r>
      <w:r w:rsidR="005F342A">
        <w:rPr>
          <w:rFonts w:ascii="ITCOfficinaSansLTBook" w:hAnsi="ITCOfficinaSansLTBook" w:cs="ITCOfficinaSansLTBook"/>
        </w:rPr>
        <w:tab/>
        <w:t>_____</w:t>
      </w:r>
      <w:r w:rsidR="005F342A">
        <w:rPr>
          <w:rFonts w:ascii="ITCOfficinaSansLTBook" w:hAnsi="ITCOfficinaSansLTBook" w:cs="ITCOfficinaSansLTBook"/>
        </w:rPr>
        <w:tab/>
        <w:t>_____</w:t>
      </w:r>
    </w:p>
    <w:p w:rsidR="00866CA0" w:rsidRPr="008910DA" w:rsidRDefault="00E81ECD" w:rsidP="00596C1F">
      <w:p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8910DA">
        <w:rPr>
          <w:rFonts w:ascii="Arial" w:hAnsi="Arial" w:cs="Arial"/>
          <w:b/>
        </w:rPr>
        <w:t>Bemerkungen:</w:t>
      </w:r>
    </w:p>
    <w:p w:rsidR="008B27E3" w:rsidRDefault="008B27E3" w:rsidP="00866CA0">
      <w:p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</w:p>
    <w:p w:rsidR="008B27E3" w:rsidRDefault="008F3D79" w:rsidP="00866CA0">
      <w:p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  <w:r w:rsidR="008B27E3">
        <w:rPr>
          <w:rFonts w:ascii="Arial" w:hAnsi="Arial" w:cs="Arial"/>
        </w:rPr>
        <w:br/>
      </w:r>
      <w:r w:rsidR="008B27E3">
        <w:rPr>
          <w:rFonts w:ascii="Arial" w:hAnsi="Arial" w:cs="Arial"/>
        </w:rPr>
        <w:br/>
        <w:t>____________________________________________________________________________________</w:t>
      </w:r>
    </w:p>
    <w:p w:rsidR="008F3D79" w:rsidRDefault="00E25852" w:rsidP="00866CA0">
      <w:p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25852" w:rsidRDefault="00E25852" w:rsidP="00866CA0">
      <w:pPr>
        <w:tabs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</w:p>
    <w:p w:rsidR="00E25852" w:rsidRPr="00866CA0" w:rsidRDefault="00E25852" w:rsidP="00E25852">
      <w:pPr>
        <w:tabs>
          <w:tab w:val="left" w:pos="6237"/>
          <w:tab w:val="left" w:pos="8364"/>
          <w:tab w:val="left" w:pos="9639"/>
        </w:tabs>
        <w:autoSpaceDE w:val="0"/>
        <w:autoSpaceDN w:val="0"/>
        <w:adjustRightInd w:val="0"/>
        <w:spacing w:after="0" w:line="240" w:lineRule="auto"/>
        <w:ind w:right="-11"/>
        <w:rPr>
          <w:rFonts w:ascii="Arial" w:hAnsi="Arial" w:cs="Arial"/>
        </w:rPr>
      </w:pPr>
      <w:r>
        <w:rPr>
          <w:rFonts w:ascii="Arial" w:hAnsi="Arial" w:cs="Arial"/>
        </w:rPr>
        <w:t>Datum:_______________</w:t>
      </w:r>
      <w:r>
        <w:rPr>
          <w:rFonts w:ascii="Arial" w:hAnsi="Arial" w:cs="Arial"/>
        </w:rPr>
        <w:tab/>
        <w:t>Unterschrift:_________________</w:t>
      </w:r>
    </w:p>
    <w:sectPr w:rsidR="00E25852" w:rsidRPr="00866CA0" w:rsidSect="00A703FF">
      <w:pgSz w:w="11906" w:h="16838"/>
      <w:pgMar w:top="426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OfficinaSansLTBoo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OfficinaSansLT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4E00"/>
    <w:multiLevelType w:val="hybridMultilevel"/>
    <w:tmpl w:val="0FEE62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911A5"/>
    <w:multiLevelType w:val="hybridMultilevel"/>
    <w:tmpl w:val="0FEE62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C3D26"/>
    <w:multiLevelType w:val="hybridMultilevel"/>
    <w:tmpl w:val="24ECDD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B6418"/>
    <w:multiLevelType w:val="hybridMultilevel"/>
    <w:tmpl w:val="0FEE62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266"/>
    <w:rsid w:val="00023377"/>
    <w:rsid w:val="00060A78"/>
    <w:rsid w:val="0008383A"/>
    <w:rsid w:val="00106483"/>
    <w:rsid w:val="001F6E75"/>
    <w:rsid w:val="002168F5"/>
    <w:rsid w:val="00317856"/>
    <w:rsid w:val="0033090A"/>
    <w:rsid w:val="00367963"/>
    <w:rsid w:val="003723D6"/>
    <w:rsid w:val="004215B7"/>
    <w:rsid w:val="00485353"/>
    <w:rsid w:val="00596C1F"/>
    <w:rsid w:val="005F342A"/>
    <w:rsid w:val="00684C53"/>
    <w:rsid w:val="00730F60"/>
    <w:rsid w:val="00841266"/>
    <w:rsid w:val="00863250"/>
    <w:rsid w:val="00866CA0"/>
    <w:rsid w:val="008910DA"/>
    <w:rsid w:val="008B27E3"/>
    <w:rsid w:val="008F3D79"/>
    <w:rsid w:val="00937715"/>
    <w:rsid w:val="009852D9"/>
    <w:rsid w:val="009B08CE"/>
    <w:rsid w:val="009D7F40"/>
    <w:rsid w:val="00A344F0"/>
    <w:rsid w:val="00A703FF"/>
    <w:rsid w:val="00AC07AB"/>
    <w:rsid w:val="00B0734C"/>
    <w:rsid w:val="00B10C7E"/>
    <w:rsid w:val="00B81F38"/>
    <w:rsid w:val="00C23A15"/>
    <w:rsid w:val="00CE4330"/>
    <w:rsid w:val="00DB390A"/>
    <w:rsid w:val="00E00457"/>
    <w:rsid w:val="00E25852"/>
    <w:rsid w:val="00E44426"/>
    <w:rsid w:val="00E81ECD"/>
    <w:rsid w:val="00EB2B2B"/>
    <w:rsid w:val="00EB3C8D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A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26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00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2A15C-C0B4-4453-990A-ECFD0698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Landeskirchenrat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OrthT</dc:creator>
  <cp:lastModifiedBy>Wiesemann</cp:lastModifiedBy>
  <cp:revision>3</cp:revision>
  <cp:lastPrinted>2019-09-26T09:08:00Z</cp:lastPrinted>
  <dcterms:created xsi:type="dcterms:W3CDTF">2019-10-09T07:33:00Z</dcterms:created>
  <dcterms:modified xsi:type="dcterms:W3CDTF">2019-12-04T15:11:00Z</dcterms:modified>
</cp:coreProperties>
</file>